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A20B7" w14:textId="0103291D" w:rsidR="003C352E" w:rsidRDefault="003C352E" w:rsidP="003C352E">
      <w:pPr>
        <w:shd w:val="clear" w:color="auto" w:fill="FFFFFF"/>
        <w:outlineLvl w:val="0"/>
        <w:rPr>
          <w:rFonts w:ascii="Lato" w:eastAsia="Times New Roman" w:hAnsi="Lato" w:cs="Times New Roman"/>
          <w:color w:val="CC3300"/>
          <w:kern w:val="36"/>
          <w:sz w:val="36"/>
          <w:szCs w:val="36"/>
          <w:lang w:eastAsia="fr-FR"/>
        </w:rPr>
      </w:pPr>
      <w:r w:rsidRPr="003C352E">
        <w:rPr>
          <w:rFonts w:ascii="Lato" w:eastAsia="Times New Roman" w:hAnsi="Lato" w:cs="Times New Roman"/>
          <w:color w:val="CC3300"/>
          <w:kern w:val="36"/>
          <w:sz w:val="36"/>
          <w:szCs w:val="36"/>
          <w:lang w:eastAsia="fr-FR"/>
        </w:rPr>
        <w:t>Une semaine où la morosité l’emporte</w:t>
      </w:r>
    </w:p>
    <w:p w14:paraId="714CF5CE" w14:textId="77777777" w:rsidR="003C352E" w:rsidRPr="003C352E" w:rsidRDefault="003C352E" w:rsidP="003C352E">
      <w:pPr>
        <w:shd w:val="clear" w:color="auto" w:fill="FFFFFF"/>
        <w:outlineLvl w:val="0"/>
        <w:rPr>
          <w:rFonts w:ascii="Lato" w:eastAsia="Times New Roman" w:hAnsi="Lato" w:cs="Times New Roman"/>
          <w:color w:val="CC3300"/>
          <w:kern w:val="36"/>
          <w:sz w:val="36"/>
          <w:szCs w:val="36"/>
          <w:lang w:eastAsia="fr-FR"/>
        </w:rPr>
      </w:pPr>
    </w:p>
    <w:p w14:paraId="48B042FA" w14:textId="77777777" w:rsidR="003C352E" w:rsidRPr="003C352E" w:rsidRDefault="003C352E" w:rsidP="003C352E">
      <w:pPr>
        <w:shd w:val="clear" w:color="auto" w:fill="FFFFFF"/>
        <w:spacing w:before="75" w:after="75"/>
        <w:jc w:val="both"/>
        <w:rPr>
          <w:rFonts w:ascii="Lato" w:eastAsia="Times New Roman" w:hAnsi="Lato" w:cs="Times New Roman"/>
          <w:color w:val="000000"/>
          <w:sz w:val="23"/>
          <w:szCs w:val="23"/>
          <w:lang w:eastAsia="fr-FR"/>
        </w:rPr>
      </w:pPr>
      <w:r w:rsidRPr="003C352E">
        <w:rPr>
          <w:rFonts w:ascii="Lato" w:eastAsia="Times New Roman" w:hAnsi="Lato" w:cs="Times New Roman"/>
          <w:color w:val="000000"/>
          <w:sz w:val="23"/>
          <w:szCs w:val="23"/>
          <w:lang w:eastAsia="fr-FR"/>
        </w:rPr>
        <w:t>Le </w:t>
      </w:r>
      <w:r w:rsidRPr="003C352E">
        <w:rPr>
          <w:rFonts w:ascii="Lato" w:eastAsia="Times New Roman" w:hAnsi="Lato" w:cs="Times New Roman"/>
          <w:color w:val="000000"/>
          <w:sz w:val="23"/>
          <w:szCs w:val="23"/>
          <w:u w:val="single"/>
          <w:lang w:eastAsia="fr-FR"/>
        </w:rPr>
        <w:t>cuivre</w:t>
      </w:r>
      <w:r w:rsidRPr="003C352E">
        <w:rPr>
          <w:rFonts w:ascii="Lato" w:eastAsia="Times New Roman" w:hAnsi="Lato" w:cs="Times New Roman"/>
          <w:color w:val="000000"/>
          <w:sz w:val="23"/>
          <w:szCs w:val="23"/>
          <w:lang w:eastAsia="fr-FR"/>
        </w:rPr>
        <w:t> est en passe de terminer la semaine sur une progression inférieure aux attentes, le marché mesurant son enthousiasme à l’égard de la demande chinoise face au ralentissement de l’économie mondiale. Les chiffres de l’inflation concernant l’Allemagne et le Japon, publiés ce jour, ainsi que les communiqués publiés par les banques centrales américaines et européennes cette semaine laissent à penser que des relèvements de taux vont être opérés assez rapidement et qu’ils endommageront la croissance économique. Beaucoup d’experts tablent sur une récession en Europe et aux Etats-Unis, ainsi que dans d’autres pays, y compris la Chine, premier consommateur mondial de métaux. « </w:t>
      </w:r>
      <w:r w:rsidRPr="003C352E">
        <w:rPr>
          <w:rFonts w:ascii="Lato" w:eastAsia="Times New Roman" w:hAnsi="Lato" w:cs="Times New Roman"/>
          <w:i/>
          <w:iCs/>
          <w:color w:val="000000"/>
          <w:sz w:val="23"/>
          <w:szCs w:val="23"/>
          <w:lang w:eastAsia="fr-FR"/>
        </w:rPr>
        <w:t>Le rebond de la demande chinoise sera modéré, le marché immobilier traversant une crise et le développement des infrastructures prenant du temps. En outre, la demande à l’exportation est faible</w:t>
      </w:r>
      <w:r w:rsidRPr="003C352E">
        <w:rPr>
          <w:rFonts w:ascii="Lato" w:eastAsia="Times New Roman" w:hAnsi="Lato" w:cs="Times New Roman"/>
          <w:color w:val="000000"/>
          <w:sz w:val="23"/>
          <w:szCs w:val="23"/>
          <w:lang w:eastAsia="fr-FR"/>
        </w:rPr>
        <w:t xml:space="preserve"> », argue Julius Baer, de Carsten </w:t>
      </w:r>
      <w:proofErr w:type="spellStart"/>
      <w:r w:rsidRPr="003C352E">
        <w:rPr>
          <w:rFonts w:ascii="Lato" w:eastAsia="Times New Roman" w:hAnsi="Lato" w:cs="Times New Roman"/>
          <w:color w:val="000000"/>
          <w:sz w:val="23"/>
          <w:szCs w:val="23"/>
          <w:lang w:eastAsia="fr-FR"/>
        </w:rPr>
        <w:t>Menke</w:t>
      </w:r>
      <w:proofErr w:type="spellEnd"/>
      <w:r w:rsidRPr="003C352E">
        <w:rPr>
          <w:rFonts w:ascii="Lato" w:eastAsia="Times New Roman" w:hAnsi="Lato" w:cs="Times New Roman"/>
          <w:color w:val="000000"/>
          <w:sz w:val="23"/>
          <w:szCs w:val="23"/>
          <w:lang w:eastAsia="fr-FR"/>
        </w:rPr>
        <w:t>. Le </w:t>
      </w:r>
      <w:r w:rsidRPr="003C352E">
        <w:rPr>
          <w:rFonts w:ascii="Lato" w:eastAsia="Times New Roman" w:hAnsi="Lato" w:cs="Times New Roman"/>
          <w:color w:val="000000"/>
          <w:sz w:val="23"/>
          <w:szCs w:val="23"/>
          <w:u w:val="single"/>
          <w:lang w:eastAsia="fr-FR"/>
        </w:rPr>
        <w:t>cuivre</w:t>
      </w:r>
      <w:r w:rsidRPr="003C352E">
        <w:rPr>
          <w:rFonts w:ascii="Lato" w:eastAsia="Times New Roman" w:hAnsi="Lato" w:cs="Times New Roman"/>
          <w:color w:val="000000"/>
          <w:sz w:val="23"/>
          <w:szCs w:val="23"/>
          <w:lang w:eastAsia="fr-FR"/>
        </w:rPr>
        <w:t>, pour l’heure en hausse de 0,4% à 8.060 $/t sur la séance, connaît une contraction de 0,3% sur la semaine. Seule le </w:t>
      </w:r>
      <w:r w:rsidRPr="003C352E">
        <w:rPr>
          <w:rFonts w:ascii="Lato" w:eastAsia="Times New Roman" w:hAnsi="Lato" w:cs="Times New Roman"/>
          <w:color w:val="000000"/>
          <w:sz w:val="23"/>
          <w:szCs w:val="23"/>
          <w:u w:val="single"/>
          <w:lang w:eastAsia="fr-FR"/>
        </w:rPr>
        <w:t>zinc</w:t>
      </w:r>
      <w:r w:rsidRPr="003C352E">
        <w:rPr>
          <w:rFonts w:ascii="Lato" w:eastAsia="Times New Roman" w:hAnsi="Lato" w:cs="Times New Roman"/>
          <w:color w:val="000000"/>
          <w:sz w:val="23"/>
          <w:szCs w:val="23"/>
          <w:lang w:eastAsia="fr-FR"/>
        </w:rPr>
        <w:t> s’apprécie : +0,3% à 3.500 $/t.</w:t>
      </w:r>
    </w:p>
    <w:p w14:paraId="2D065BAB" w14:textId="77777777" w:rsidR="003C352E" w:rsidRPr="003C352E" w:rsidRDefault="003C352E" w:rsidP="003C352E">
      <w:pPr>
        <w:shd w:val="clear" w:color="auto" w:fill="FFFFFF"/>
        <w:spacing w:before="75" w:after="75"/>
        <w:jc w:val="both"/>
        <w:rPr>
          <w:rFonts w:ascii="Lato" w:eastAsia="Times New Roman" w:hAnsi="Lato" w:cs="Times New Roman"/>
          <w:color w:val="000000"/>
          <w:sz w:val="23"/>
          <w:szCs w:val="23"/>
          <w:lang w:eastAsia="fr-FR"/>
        </w:rPr>
      </w:pPr>
      <w:r w:rsidRPr="003C352E">
        <w:rPr>
          <w:rFonts w:ascii="Lato" w:eastAsia="Times New Roman" w:hAnsi="Lato" w:cs="Times New Roman"/>
          <w:color w:val="000000"/>
          <w:sz w:val="23"/>
          <w:szCs w:val="23"/>
          <w:lang w:eastAsia="fr-FR"/>
        </w:rPr>
        <w:t>L’</w:t>
      </w:r>
      <w:r w:rsidRPr="003C352E">
        <w:rPr>
          <w:rFonts w:ascii="Lato" w:eastAsia="Times New Roman" w:hAnsi="Lato" w:cs="Times New Roman"/>
          <w:color w:val="000000"/>
          <w:sz w:val="23"/>
          <w:szCs w:val="23"/>
          <w:u w:val="single"/>
          <w:lang w:eastAsia="fr-FR"/>
        </w:rPr>
        <w:t>or</w:t>
      </w:r>
      <w:r w:rsidRPr="003C352E">
        <w:rPr>
          <w:rFonts w:ascii="Lato" w:eastAsia="Times New Roman" w:hAnsi="Lato" w:cs="Times New Roman"/>
          <w:color w:val="000000"/>
          <w:sz w:val="23"/>
          <w:szCs w:val="23"/>
          <w:lang w:eastAsia="fr-FR"/>
        </w:rPr>
        <w:t> accuse sa première baisse hebdomadaire en un mois sur le marché londonien, où il est pénalisé par la robustesse du dollar et la progression des bons du Trésor américain. Il s’est replié à 1.753 $/once, soit à un creux de 3 semaines. Il recule ainsi pour la 5</w:t>
      </w:r>
      <w:r w:rsidRPr="003C352E">
        <w:rPr>
          <w:rFonts w:ascii="Lato" w:eastAsia="Times New Roman" w:hAnsi="Lato" w:cs="Times New Roman"/>
          <w:color w:val="000000"/>
          <w:sz w:val="23"/>
          <w:szCs w:val="23"/>
          <w:vertAlign w:val="superscript"/>
          <w:lang w:eastAsia="fr-FR"/>
        </w:rPr>
        <w:t>ème</w:t>
      </w:r>
      <w:r w:rsidRPr="003C352E">
        <w:rPr>
          <w:rFonts w:ascii="Lato" w:eastAsia="Times New Roman" w:hAnsi="Lato" w:cs="Times New Roman"/>
          <w:color w:val="000000"/>
          <w:sz w:val="23"/>
          <w:szCs w:val="23"/>
          <w:lang w:eastAsia="fr-FR"/>
        </w:rPr>
        <w:t> séance consécutive. « </w:t>
      </w:r>
      <w:r w:rsidRPr="003C352E">
        <w:rPr>
          <w:rFonts w:ascii="Lato" w:eastAsia="Times New Roman" w:hAnsi="Lato" w:cs="Times New Roman"/>
          <w:i/>
          <w:iCs/>
          <w:color w:val="000000"/>
          <w:sz w:val="23"/>
          <w:szCs w:val="23"/>
          <w:lang w:eastAsia="fr-FR"/>
        </w:rPr>
        <w:t>Le métal jaune a ponctuellement fait preuve de résilience cette semaine et il pourrait à nouveau très vite recapitaliser si le dollar venait à baisser</w:t>
      </w:r>
      <w:r w:rsidRPr="003C352E">
        <w:rPr>
          <w:rFonts w:ascii="Lato" w:eastAsia="Times New Roman" w:hAnsi="Lato" w:cs="Times New Roman"/>
          <w:color w:val="000000"/>
          <w:sz w:val="23"/>
          <w:szCs w:val="23"/>
          <w:lang w:eastAsia="fr-FR"/>
        </w:rPr>
        <w:t xml:space="preserve"> », estime </w:t>
      </w:r>
      <w:proofErr w:type="spellStart"/>
      <w:r w:rsidRPr="003C352E">
        <w:rPr>
          <w:rFonts w:ascii="Lato" w:eastAsia="Times New Roman" w:hAnsi="Lato" w:cs="Times New Roman"/>
          <w:color w:val="000000"/>
          <w:sz w:val="23"/>
          <w:szCs w:val="23"/>
          <w:lang w:eastAsia="fr-FR"/>
        </w:rPr>
        <w:t>Craign</w:t>
      </w:r>
      <w:proofErr w:type="spellEnd"/>
      <w:r w:rsidRPr="003C352E">
        <w:rPr>
          <w:rFonts w:ascii="Lato" w:eastAsia="Times New Roman" w:hAnsi="Lato" w:cs="Times New Roman"/>
          <w:color w:val="000000"/>
          <w:sz w:val="23"/>
          <w:szCs w:val="23"/>
          <w:lang w:eastAsia="fr-FR"/>
        </w:rPr>
        <w:t xml:space="preserve"> </w:t>
      </w:r>
      <w:proofErr w:type="spellStart"/>
      <w:r w:rsidRPr="003C352E">
        <w:rPr>
          <w:rFonts w:ascii="Lato" w:eastAsia="Times New Roman" w:hAnsi="Lato" w:cs="Times New Roman"/>
          <w:color w:val="000000"/>
          <w:sz w:val="23"/>
          <w:szCs w:val="23"/>
          <w:lang w:eastAsia="fr-FR"/>
        </w:rPr>
        <w:t>Erlam</w:t>
      </w:r>
      <w:proofErr w:type="spellEnd"/>
      <w:r w:rsidRPr="003C352E">
        <w:rPr>
          <w:rFonts w:ascii="Lato" w:eastAsia="Times New Roman" w:hAnsi="Lato" w:cs="Times New Roman"/>
          <w:color w:val="000000"/>
          <w:sz w:val="23"/>
          <w:szCs w:val="23"/>
          <w:lang w:eastAsia="fr-FR"/>
        </w:rPr>
        <w:t>, analyste pour OANDA.</w:t>
      </w:r>
    </w:p>
    <w:p w14:paraId="6F60ECFA" w14:textId="77777777" w:rsidR="00CD0D9E" w:rsidRDefault="00CD0D9E"/>
    <w:sectPr w:rsidR="00CD0D9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2E"/>
    <w:rsid w:val="000F156F"/>
    <w:rsid w:val="003C352E"/>
    <w:rsid w:val="00CD0D9E"/>
    <w:rsid w:val="00DE48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0FE958ED"/>
  <w15:chartTrackingRefBased/>
  <w15:docId w15:val="{796484F2-40BB-8448-A8E8-E982FB06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C352E"/>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352E"/>
    <w:rPr>
      <w:rFonts w:ascii="Times New Roman" w:eastAsia="Times New Roman" w:hAnsi="Times New Roman" w:cs="Times New Roman"/>
      <w:b/>
      <w:bCs/>
      <w:kern w:val="36"/>
      <w:sz w:val="48"/>
      <w:szCs w:val="48"/>
      <w:lang w:eastAsia="fr-FR"/>
    </w:rPr>
  </w:style>
  <w:style w:type="paragraph" w:customStyle="1" w:styleId="infokeywords">
    <w:name w:val="info_keywords"/>
    <w:basedOn w:val="Normal"/>
    <w:rsid w:val="003C352E"/>
    <w:pPr>
      <w:spacing w:before="100" w:beforeAutospacing="1" w:after="100" w:afterAutospacing="1"/>
    </w:pPr>
    <w:rPr>
      <w:rFonts w:ascii="Times New Roman" w:eastAsia="Times New Roman" w:hAnsi="Times New Roman" w:cs="Times New Roman"/>
      <w:lang w:eastAsia="fr-FR"/>
    </w:rPr>
  </w:style>
  <w:style w:type="character" w:customStyle="1" w:styleId="keywordarticle">
    <w:name w:val="keyword_article"/>
    <w:basedOn w:val="Policepardfaut"/>
    <w:rsid w:val="003C352E"/>
  </w:style>
  <w:style w:type="paragraph" w:customStyle="1" w:styleId="infoarticle">
    <w:name w:val="info_article"/>
    <w:basedOn w:val="Normal"/>
    <w:rsid w:val="003C352E"/>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3C352E"/>
    <w:rPr>
      <w:color w:val="0000FF"/>
      <w:u w:val="single"/>
    </w:rPr>
  </w:style>
  <w:style w:type="paragraph" w:styleId="NormalWeb">
    <w:name w:val="Normal (Web)"/>
    <w:basedOn w:val="Normal"/>
    <w:uiPriority w:val="99"/>
    <w:semiHidden/>
    <w:unhideWhenUsed/>
    <w:rsid w:val="003C352E"/>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3C35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4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1359</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2022-08-22T06:04:00Z</dcterms:created>
  <dcterms:modified xsi:type="dcterms:W3CDTF">2022-08-22T06:05:00Z</dcterms:modified>
</cp:coreProperties>
</file>